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Calibri Light" w:hAnsi="Calibri Light" w:cs="Calibri Light"/>
          <w:b/>
          <w:sz w:val="22"/>
          <w:szCs w:val="22"/>
          <w:lang w:val="cy-GB"/>
        </w:rPr>
      </w:pPr>
      <w:r>
        <w:rPr>
          <w:rFonts w:ascii="Calibri Light" w:hAnsi="Calibri Light" w:cs="Calibri Light"/>
          <w:b/>
          <w:sz w:val="22"/>
          <w:szCs w:val="22"/>
          <w:lang w:val="cy-GB"/>
        </w:rPr>
        <w:t>Interpreting end of year attainment descriptors and effort grades</w:t>
      </w:r>
    </w:p>
    <w:p>
      <w:pPr>
        <w:jc w:val="both"/>
        <w:rPr>
          <w:rFonts w:ascii="Calibri Light" w:hAnsi="Calibri Light" w:cs="Calibri Light"/>
          <w:sz w:val="22"/>
          <w:szCs w:val="22"/>
          <w:lang w:val="cy-GB"/>
        </w:rPr>
      </w:pPr>
    </w:p>
    <w:p>
      <w:pPr>
        <w:rPr>
          <w:rFonts w:ascii="Calibri Light" w:hAnsi="Calibri Light" w:cs="Calibri Light"/>
          <w:b/>
          <w:sz w:val="22"/>
          <w:szCs w:val="22"/>
          <w:lang w:val="cy-GB"/>
        </w:rPr>
      </w:pPr>
      <w:r>
        <w:rPr>
          <w:rFonts w:ascii="Calibri Light" w:hAnsi="Calibri Light" w:cs="Calibri Light"/>
          <w:b/>
          <w:sz w:val="22"/>
          <w:szCs w:val="22"/>
          <w:lang w:val="cy-GB"/>
        </w:rPr>
        <w:t>Explaining attainment descriptors in Key Stage 1</w:t>
      </w:r>
    </w:p>
    <w:p>
      <w:pPr>
        <w:pStyle w:val="ListParagraph"/>
        <w:numPr>
          <w:ilvl w:val="0"/>
          <w:numId w:val="5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In all subject areas there are four performance tiers: </w:t>
      </w:r>
    </w:p>
    <w:p>
      <w:pPr>
        <w:pStyle w:val="ListParagraph"/>
        <w:ind w:left="36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Emerging </w:t>
      </w:r>
      <w:r>
        <w:rPr>
          <w:rFonts w:ascii="Calibri Light" w:hAnsi="Calibri Light" w:cs="Calibri Light"/>
          <w:sz w:val="22"/>
          <w:szCs w:val="22"/>
        </w:rPr>
        <w:t xml:space="preserve">(well below </w:t>
      </w:r>
      <w:r>
        <w:rPr>
          <w:rFonts w:ascii="Calibri Light" w:hAnsi="Calibri Light" w:cs="Calibri Light"/>
          <w:sz w:val="22"/>
          <w:szCs w:val="22"/>
          <w:lang w:val="cy-GB"/>
        </w:rPr>
        <w:t>the nationally expected standard</w:t>
      </w:r>
      <w:r>
        <w:rPr>
          <w:rFonts w:ascii="Calibri Light" w:hAnsi="Calibri Light" w:cs="Calibri Light"/>
          <w:sz w:val="22"/>
          <w:szCs w:val="22"/>
        </w:rPr>
        <w:t>)</w:t>
      </w:r>
    </w:p>
    <w:p>
      <w:pPr>
        <w:pStyle w:val="ListParagraph"/>
        <w:ind w:left="36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Developing </w:t>
      </w:r>
      <w:r>
        <w:rPr>
          <w:rFonts w:ascii="Calibri Light" w:hAnsi="Calibri Light" w:cs="Calibri Light"/>
          <w:sz w:val="22"/>
          <w:szCs w:val="22"/>
        </w:rPr>
        <w:t xml:space="preserve">(slightly below </w:t>
      </w:r>
      <w:r>
        <w:rPr>
          <w:rFonts w:ascii="Calibri Light" w:hAnsi="Calibri Light" w:cs="Calibri Light"/>
          <w:sz w:val="22"/>
          <w:szCs w:val="22"/>
          <w:lang w:val="cy-GB"/>
        </w:rPr>
        <w:t>the nationally expected standard</w:t>
      </w:r>
      <w:r>
        <w:rPr>
          <w:rFonts w:ascii="Calibri Light" w:hAnsi="Calibri Light" w:cs="Calibri Light"/>
          <w:sz w:val="22"/>
          <w:szCs w:val="22"/>
        </w:rPr>
        <w:t>)</w:t>
      </w:r>
    </w:p>
    <w:p>
      <w:pPr>
        <w:pStyle w:val="ListParagraph"/>
        <w:ind w:left="36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Secure</w:t>
      </w:r>
      <w:r>
        <w:rPr>
          <w:rFonts w:ascii="Calibri Light" w:hAnsi="Calibri Light" w:cs="Calibri Light"/>
          <w:sz w:val="22"/>
          <w:szCs w:val="22"/>
        </w:rPr>
        <w:t xml:space="preserve"> (performing at the year group</w:t>
      </w:r>
      <w:r>
        <w:rPr>
          <w:rFonts w:ascii="Calibri Light" w:hAnsi="Calibri Light" w:cs="Calibri Light"/>
          <w:sz w:val="22"/>
          <w:szCs w:val="22"/>
          <w:lang w:val="cy-GB"/>
        </w:rPr>
        <w:t xml:space="preserve"> / nationally expected standard</w:t>
      </w:r>
      <w:r>
        <w:rPr>
          <w:rFonts w:ascii="Calibri Light" w:hAnsi="Calibri Light" w:cs="Calibri Light"/>
          <w:sz w:val="22"/>
          <w:szCs w:val="22"/>
        </w:rPr>
        <w:t xml:space="preserve">) </w:t>
      </w:r>
    </w:p>
    <w:p>
      <w:pPr>
        <w:pStyle w:val="ListParagraph"/>
        <w:ind w:left="36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Mastery</w:t>
      </w:r>
      <w:r>
        <w:rPr>
          <w:rFonts w:ascii="Calibri Light" w:hAnsi="Calibri Light" w:cs="Calibri Light"/>
          <w:sz w:val="22"/>
          <w:szCs w:val="22"/>
        </w:rPr>
        <w:t xml:space="preserve"> (performing at a high level; beyond the year group /</w:t>
      </w:r>
      <w:r>
        <w:rPr>
          <w:rFonts w:ascii="Calibri Light" w:hAnsi="Calibri Light" w:cs="Calibri Light"/>
          <w:sz w:val="22"/>
          <w:szCs w:val="22"/>
          <w:lang w:val="cy-GB"/>
        </w:rPr>
        <w:t xml:space="preserve"> nationally expected standard</w:t>
      </w:r>
      <w:r>
        <w:rPr>
          <w:rFonts w:ascii="Calibri Light" w:hAnsi="Calibri Light" w:cs="Calibri Light"/>
          <w:sz w:val="22"/>
          <w:szCs w:val="22"/>
        </w:rPr>
        <w:t>).</w:t>
      </w:r>
    </w:p>
    <w:p>
      <w:pPr>
        <w:pStyle w:val="ListParagraph"/>
        <w:ind w:left="360"/>
        <w:jc w:val="both"/>
        <w:rPr>
          <w:rFonts w:ascii="Calibri Light" w:hAnsi="Calibri Light" w:cs="Calibri Light"/>
          <w:sz w:val="22"/>
          <w:szCs w:val="22"/>
        </w:rPr>
      </w:pPr>
    </w:p>
    <w:p>
      <w:pPr>
        <w:numPr>
          <w:ilvl w:val="0"/>
          <w:numId w:val="5"/>
        </w:numPr>
        <w:rPr>
          <w:rFonts w:ascii="Calibri Light" w:hAnsi="Calibri Light" w:cs="Calibri Light"/>
          <w:sz w:val="22"/>
          <w:szCs w:val="22"/>
          <w:lang w:val="cy-GB"/>
        </w:rPr>
      </w:pPr>
      <w:r>
        <w:rPr>
          <w:rFonts w:ascii="Calibri Light" w:hAnsi="Calibri Light" w:cs="Calibri Light"/>
          <w:sz w:val="22"/>
          <w:szCs w:val="22"/>
          <w:lang w:val="cy-GB"/>
        </w:rPr>
        <w:t>To refine more precisely exactly how well pupils are preforming Emerging is subdivided into two.</w:t>
      </w:r>
    </w:p>
    <w:p>
      <w:pPr>
        <w:ind w:firstLine="360"/>
        <w:rPr>
          <w:rFonts w:ascii="Calibri Light" w:hAnsi="Calibri Light" w:cs="Calibri Light"/>
          <w:sz w:val="22"/>
          <w:szCs w:val="22"/>
          <w:lang w:val="cy-GB"/>
        </w:rPr>
      </w:pPr>
      <w:r>
        <w:rPr>
          <w:rFonts w:ascii="Calibri Light" w:hAnsi="Calibri Light" w:cs="Calibri Light"/>
          <w:b/>
          <w:sz w:val="22"/>
          <w:szCs w:val="22"/>
          <w:lang w:val="cy-GB"/>
        </w:rPr>
        <w:t xml:space="preserve">Emerging B </w:t>
      </w:r>
      <w:r>
        <w:rPr>
          <w:rFonts w:ascii="Calibri Light" w:hAnsi="Calibri Light" w:cs="Calibri Light"/>
          <w:sz w:val="22"/>
          <w:szCs w:val="22"/>
          <w:lang w:val="cy-GB"/>
        </w:rPr>
        <w:t>indicates the lowest possible performance for that particular year group.</w:t>
      </w:r>
    </w:p>
    <w:p>
      <w:pPr>
        <w:ind w:firstLine="360"/>
        <w:rPr>
          <w:rFonts w:ascii="Calibri Light" w:hAnsi="Calibri Light" w:cs="Calibri Light"/>
          <w:color w:val="FF0000"/>
          <w:sz w:val="22"/>
          <w:szCs w:val="22"/>
          <w:lang w:val="cy-GB"/>
        </w:rPr>
      </w:pPr>
      <w:r>
        <w:rPr>
          <w:rFonts w:ascii="Calibri Light" w:hAnsi="Calibri Light" w:cs="Calibri Light"/>
          <w:b/>
          <w:sz w:val="22"/>
          <w:szCs w:val="22"/>
          <w:lang w:val="cy-GB"/>
        </w:rPr>
        <w:t xml:space="preserve">Emerging A </w:t>
      </w:r>
      <w:r>
        <w:rPr>
          <w:rFonts w:ascii="Calibri Light" w:hAnsi="Calibri Light" w:cs="Calibri Light"/>
          <w:sz w:val="22"/>
          <w:szCs w:val="22"/>
          <w:lang w:val="cy-GB"/>
        </w:rPr>
        <w:t>is a higher performance</w:t>
      </w:r>
      <w:r>
        <w:rPr>
          <w:rFonts w:ascii="Calibri Light" w:hAnsi="Calibri Light" w:cs="Calibri Light"/>
          <w:color w:val="FF0000"/>
          <w:sz w:val="22"/>
          <w:szCs w:val="22"/>
          <w:lang w:val="cy-GB"/>
        </w:rPr>
        <w:t xml:space="preserve"> </w:t>
      </w:r>
      <w:r>
        <w:rPr>
          <w:rFonts w:ascii="Calibri Light" w:hAnsi="Calibri Light" w:cs="Calibri Light"/>
          <w:sz w:val="22"/>
          <w:szCs w:val="22"/>
          <w:lang w:val="cy-GB"/>
        </w:rPr>
        <w:t>standard within the emerging category.</w:t>
      </w:r>
    </w:p>
    <w:p>
      <w:pPr>
        <w:pStyle w:val="ListParagraph"/>
        <w:ind w:left="360"/>
        <w:jc w:val="both"/>
        <w:rPr>
          <w:rFonts w:ascii="Calibri Light" w:hAnsi="Calibri Light" w:cs="Calibri Light"/>
          <w:sz w:val="22"/>
          <w:szCs w:val="22"/>
        </w:rPr>
      </w:pPr>
    </w:p>
    <w:p>
      <w:pPr>
        <w:pStyle w:val="ListParagraph"/>
        <w:ind w:left="0"/>
        <w:jc w:val="both"/>
        <w:rPr>
          <w:rFonts w:ascii="Calibri Light" w:hAnsi="Calibri Light" w:cs="Calibri Light"/>
          <w:sz w:val="22"/>
          <w:szCs w:val="22"/>
        </w:rPr>
      </w:pPr>
    </w:p>
    <w:p>
      <w:pPr>
        <w:rPr>
          <w:rFonts w:ascii="Calibri Light" w:hAnsi="Calibri Light" w:cs="Calibri Light"/>
          <w:b/>
          <w:sz w:val="22"/>
          <w:szCs w:val="22"/>
          <w:lang w:val="cy-GB"/>
        </w:rPr>
      </w:pPr>
    </w:p>
    <w:p>
      <w:pPr>
        <w:rPr>
          <w:rFonts w:ascii="Calibri Light" w:hAnsi="Calibri Light" w:cs="Calibri Light"/>
          <w:b/>
          <w:sz w:val="22"/>
          <w:szCs w:val="22"/>
          <w:lang w:val="cy-GB"/>
        </w:rPr>
      </w:pPr>
      <w:r>
        <w:rPr>
          <w:rFonts w:ascii="Calibri Light" w:hAnsi="Calibri Light" w:cs="Calibri Light"/>
          <w:b/>
          <w:sz w:val="22"/>
          <w:szCs w:val="22"/>
          <w:lang w:val="cy-GB"/>
        </w:rPr>
        <w:t xml:space="preserve">These are the </w:t>
      </w:r>
      <w:r>
        <w:rPr>
          <w:rFonts w:ascii="Calibri Light" w:hAnsi="Calibri Light" w:cs="Calibri Light"/>
          <w:b/>
          <w:sz w:val="22"/>
          <w:szCs w:val="22"/>
          <w:u w:val="single"/>
          <w:lang w:val="cy-GB"/>
        </w:rPr>
        <w:t>end of year</w:t>
      </w:r>
      <w:r>
        <w:rPr>
          <w:rFonts w:ascii="Calibri Light" w:hAnsi="Calibri Light" w:cs="Calibri Light"/>
          <w:b/>
          <w:sz w:val="22"/>
          <w:szCs w:val="22"/>
          <w:lang w:val="cy-GB"/>
        </w:rPr>
        <w:t xml:space="preserve"> attainment performance tiers for Year 2</w:t>
      </w:r>
    </w:p>
    <w:p>
      <w:pPr>
        <w:rPr>
          <w:rFonts w:ascii="Calibri Light" w:hAnsi="Calibri Light" w:cs="Calibri Light"/>
          <w:sz w:val="22"/>
          <w:szCs w:val="22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2865"/>
        <w:gridCol w:w="3766"/>
      </w:tblGrid>
      <w:t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Year 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Assessment level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Comment in relation to the national average</w:t>
            </w:r>
          </w:p>
        </w:tc>
      </w:tr>
      <w:t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Year 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Year 2 Emerging B</w:t>
            </w:r>
          </w:p>
          <w:p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(2EB)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u w:val="single"/>
                <w:lang w:val="cy-GB"/>
              </w:rPr>
              <w:t>significantly below</w:t>
            </w: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 the nationally expected performance (broadly 18 months, or more, behind) </w:t>
            </w:r>
          </w:p>
        </w:tc>
      </w:tr>
      <w:t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Year 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Year 2 Emerging A</w:t>
            </w:r>
          </w:p>
          <w:p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(2EA)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u w:val="single"/>
                <w:lang w:val="cy-GB"/>
              </w:rPr>
              <w:t>well below</w:t>
            </w: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 the nationally expected performance for this age (broadly 12 months, or slightly more, behind)</w:t>
            </w:r>
          </w:p>
        </w:tc>
      </w:tr>
      <w:t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Year 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Year 2 Developing</w:t>
            </w:r>
          </w:p>
          <w:p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(2D)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u w:val="single"/>
                <w:lang w:val="cy-GB"/>
              </w:rPr>
              <w:t>slightly below</w:t>
            </w: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 the nationally expected performance for this age (broadly 6-9 months behind)</w:t>
            </w:r>
          </w:p>
        </w:tc>
      </w:tr>
      <w:t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>
            <w:pPr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Year 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Year 2 Secure</w:t>
            </w:r>
          </w:p>
          <w:p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(2S)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>
            <w:p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u w:val="single"/>
                <w:lang w:val="cy-GB"/>
              </w:rPr>
              <w:t>in line with</w:t>
            </w: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 nationally expected performance for this age</w:t>
            </w:r>
          </w:p>
        </w:tc>
      </w:tr>
      <w:t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Year 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Year 2 Mastery  </w:t>
            </w:r>
          </w:p>
          <w:p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(2M)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Calibri Light" w:hAnsi="Calibri Light" w:cs="Calibri Light"/>
                <w:sz w:val="22"/>
                <w:szCs w:val="22"/>
                <w:u w:val="single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u w:val="single"/>
                <w:lang w:val="cy-GB"/>
              </w:rPr>
              <w:t>above</w:t>
            </w: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 the nationally expected performance for this age</w:t>
            </w:r>
          </w:p>
        </w:tc>
      </w:tr>
    </w:tbl>
    <w:p>
      <w:pPr>
        <w:rPr>
          <w:rFonts w:ascii="Calibri Light" w:hAnsi="Calibri Light" w:cs="Calibri Light"/>
          <w:b/>
          <w:sz w:val="22"/>
          <w:szCs w:val="22"/>
          <w:lang w:val="cy-GB"/>
        </w:rPr>
      </w:pPr>
    </w:p>
    <w:p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The performance tiers</w:t>
      </w:r>
    </w:p>
    <w:p>
      <w:pPr>
        <w:pStyle w:val="NoSpacing"/>
        <w:jc w:val="both"/>
        <w:rPr>
          <w:rFonts w:ascii="Calibri Light" w:hAnsi="Calibri Light" w:cs="Calibri Light"/>
          <w:b/>
        </w:rPr>
      </w:pPr>
    </w:p>
    <w:p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Emerging B: </w:t>
      </w:r>
      <w:r>
        <w:rPr>
          <w:rFonts w:ascii="Calibri Light" w:hAnsi="Calibri Light" w:cs="Calibri Light"/>
        </w:rPr>
        <w:t>Less than 25% of the end of year objectives met</w:t>
      </w:r>
    </w:p>
    <w:p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Emerging A: </w:t>
      </w:r>
      <w:r>
        <w:rPr>
          <w:rFonts w:ascii="Calibri Light" w:hAnsi="Calibri Light" w:cs="Calibri Light"/>
        </w:rPr>
        <w:t xml:space="preserve">25% of the end of year objectives met </w:t>
      </w:r>
    </w:p>
    <w:p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Developing: </w:t>
      </w:r>
      <w:r>
        <w:rPr>
          <w:rFonts w:ascii="Calibri Light" w:hAnsi="Calibri Light" w:cs="Calibri Light"/>
        </w:rPr>
        <w:t>Approximately 50% of the end of year objectives met</w:t>
      </w:r>
    </w:p>
    <w:p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Secure: </w:t>
      </w:r>
      <w:r>
        <w:rPr>
          <w:rFonts w:ascii="Calibri Light" w:hAnsi="Calibri Light" w:cs="Calibri Light"/>
        </w:rPr>
        <w:t xml:space="preserve">Approximately 80% of the end of year objectives met </w:t>
      </w:r>
    </w:p>
    <w:p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Mastery: </w:t>
      </w:r>
      <w:r>
        <w:rPr>
          <w:rFonts w:ascii="Calibri Light" w:hAnsi="Calibri Light" w:cs="Calibri Light"/>
        </w:rPr>
        <w:t>100% of the end of year objectives met</w:t>
      </w:r>
    </w:p>
    <w:p>
      <w:pPr>
        <w:pStyle w:val="ListParagraph"/>
        <w:ind w:left="0"/>
        <w:rPr>
          <w:rFonts w:ascii="Calibri Light" w:hAnsi="Calibri Light" w:cs="Calibri Light"/>
          <w:b/>
          <w:bCs/>
          <w:sz w:val="22"/>
          <w:szCs w:val="22"/>
          <w:lang w:val="en-GB"/>
        </w:rPr>
      </w:pPr>
    </w:p>
    <w:p>
      <w:pPr>
        <w:pStyle w:val="ListParagraph"/>
        <w:ind w:left="0"/>
        <w:rPr>
          <w:rFonts w:ascii="Calibri Light" w:hAnsi="Calibri Light" w:cs="Calibri Light"/>
          <w:b/>
          <w:bCs/>
          <w:sz w:val="22"/>
          <w:szCs w:val="22"/>
          <w:lang w:val="en-GB"/>
        </w:rPr>
      </w:pPr>
    </w:p>
    <w:p>
      <w:pPr>
        <w:pStyle w:val="ListParagraph"/>
        <w:ind w:left="0"/>
        <w:rPr>
          <w:rFonts w:ascii="Calibri Light" w:hAnsi="Calibri Light" w:cs="Calibri Light"/>
          <w:b/>
          <w:bCs/>
          <w:sz w:val="22"/>
          <w:szCs w:val="22"/>
          <w:lang w:val="en-GB"/>
        </w:rPr>
      </w:pPr>
    </w:p>
    <w:p>
      <w:pPr>
        <w:pStyle w:val="ListParagraph"/>
        <w:ind w:left="0"/>
        <w:rPr>
          <w:rFonts w:ascii="Calibri Light" w:hAnsi="Calibri Light" w:cs="Calibri Light"/>
          <w:b/>
          <w:bCs/>
          <w:sz w:val="22"/>
          <w:szCs w:val="22"/>
          <w:lang w:val="en-GB"/>
        </w:rPr>
      </w:pPr>
    </w:p>
    <w:p>
      <w:pPr>
        <w:pStyle w:val="ListParagraph"/>
        <w:ind w:left="0"/>
        <w:rPr>
          <w:rFonts w:ascii="Calibri Light" w:hAnsi="Calibri Light" w:cs="Calibri Light"/>
          <w:b/>
          <w:bCs/>
          <w:sz w:val="22"/>
          <w:szCs w:val="22"/>
          <w:lang w:val="en-GB"/>
        </w:rPr>
      </w:pPr>
    </w:p>
    <w:p>
      <w:pPr>
        <w:pStyle w:val="ListParagraph"/>
        <w:ind w:left="0"/>
        <w:rPr>
          <w:rFonts w:ascii="Calibri Light" w:hAnsi="Calibri Light" w:cs="Calibri Light"/>
          <w:b/>
          <w:bCs/>
          <w:sz w:val="22"/>
          <w:szCs w:val="22"/>
          <w:lang w:val="en-GB"/>
        </w:rPr>
      </w:pPr>
    </w:p>
    <w:p>
      <w:pPr>
        <w:pStyle w:val="ListParagraph"/>
        <w:ind w:left="0"/>
        <w:rPr>
          <w:rFonts w:ascii="Calibri Light" w:hAnsi="Calibri Light" w:cs="Calibri Light"/>
          <w:b/>
          <w:bCs/>
          <w:sz w:val="22"/>
          <w:szCs w:val="22"/>
          <w:lang w:val="en-GB"/>
        </w:rPr>
      </w:pPr>
    </w:p>
    <w:p>
      <w:pPr>
        <w:pStyle w:val="ListParagraph"/>
        <w:ind w:left="0"/>
        <w:rPr>
          <w:rFonts w:ascii="Calibri Light" w:hAnsi="Calibri Light" w:cs="Calibri Light"/>
          <w:b/>
          <w:bCs/>
          <w:sz w:val="22"/>
          <w:szCs w:val="22"/>
          <w:lang w:val="en-GB"/>
        </w:rPr>
      </w:pPr>
    </w:p>
    <w:p>
      <w:pPr>
        <w:pStyle w:val="ListParagraph"/>
        <w:ind w:left="0"/>
        <w:rPr>
          <w:rFonts w:ascii="Calibri Light" w:hAnsi="Calibri Light" w:cs="Calibri Light"/>
          <w:b/>
          <w:bCs/>
          <w:sz w:val="22"/>
          <w:szCs w:val="22"/>
          <w:lang w:val="en-GB"/>
        </w:rPr>
      </w:pPr>
    </w:p>
    <w:p>
      <w:pPr>
        <w:pStyle w:val="ListParagraph"/>
        <w:ind w:left="0"/>
        <w:rPr>
          <w:rFonts w:ascii="Calibri Light" w:hAnsi="Calibri Light" w:cs="Calibri Light"/>
          <w:b/>
          <w:bCs/>
          <w:sz w:val="22"/>
          <w:szCs w:val="22"/>
          <w:lang w:val="en-GB"/>
        </w:rPr>
      </w:pPr>
    </w:p>
    <w:p>
      <w:pPr>
        <w:pStyle w:val="ListParagraph"/>
        <w:ind w:left="0"/>
        <w:rPr>
          <w:rFonts w:ascii="Calibri Light" w:hAnsi="Calibri Light" w:cs="Calibri Light"/>
          <w:b/>
          <w:bCs/>
          <w:sz w:val="22"/>
          <w:szCs w:val="22"/>
          <w:lang w:val="en-GB"/>
        </w:rPr>
      </w:pPr>
    </w:p>
    <w:p>
      <w:pPr>
        <w:pStyle w:val="ListParagraph"/>
        <w:ind w:left="0"/>
        <w:rPr>
          <w:rFonts w:ascii="Calibri Light" w:hAnsi="Calibri Light" w:cs="Calibri Light"/>
          <w:b/>
          <w:bCs/>
          <w:sz w:val="22"/>
          <w:szCs w:val="22"/>
          <w:lang w:val="en-GB"/>
        </w:rPr>
      </w:pPr>
    </w:p>
    <w:p>
      <w:pPr>
        <w:pStyle w:val="ListParagraph"/>
        <w:ind w:left="0"/>
        <w:rPr>
          <w:rFonts w:ascii="Calibri Light" w:hAnsi="Calibri Light" w:cs="Calibri Light"/>
          <w:b/>
          <w:sz w:val="22"/>
          <w:szCs w:val="22"/>
        </w:rPr>
      </w:pPr>
    </w:p>
    <w:p>
      <w:pPr>
        <w:pStyle w:val="ListParagraph"/>
        <w:ind w:left="0"/>
        <w:rPr>
          <w:rFonts w:ascii="Calibri Light" w:hAnsi="Calibri Light" w:cs="Calibri Light"/>
          <w:b/>
          <w:sz w:val="22"/>
          <w:szCs w:val="22"/>
        </w:rPr>
      </w:pPr>
    </w:p>
    <w:p>
      <w:pPr>
        <w:pStyle w:val="ListParagraph"/>
        <w:ind w:left="0"/>
        <w:rPr>
          <w:rFonts w:ascii="Calibri Light" w:hAnsi="Calibri Light" w:cs="Calibri Light"/>
          <w:b/>
          <w:sz w:val="22"/>
          <w:szCs w:val="22"/>
        </w:rPr>
      </w:pPr>
    </w:p>
    <w:p>
      <w:pPr>
        <w:pStyle w:val="ListParagraph"/>
        <w:ind w:left="0"/>
        <w:rPr>
          <w:rFonts w:ascii="Calibri Light" w:hAnsi="Calibri Light" w:cs="Calibri Light"/>
          <w:b/>
          <w:sz w:val="22"/>
          <w:szCs w:val="22"/>
        </w:rPr>
      </w:pPr>
      <w:bookmarkStart w:id="0" w:name="_GoBack"/>
      <w:bookmarkEnd w:id="0"/>
      <w:r>
        <w:rPr>
          <w:rFonts w:ascii="Calibri Light" w:hAnsi="Calibri Light" w:cs="Calibri Light"/>
          <w:b/>
          <w:sz w:val="22"/>
          <w:szCs w:val="22"/>
        </w:rPr>
        <w:lastRenderedPageBreak/>
        <w:t>A pupil can’t be assessed ‘outside their year group’.</w:t>
      </w:r>
    </w:p>
    <w:p>
      <w:pPr>
        <w:pStyle w:val="ListParagraph"/>
        <w:ind w:left="360"/>
        <w:jc w:val="center"/>
        <w:rPr>
          <w:rFonts w:ascii="Calibri Light" w:hAnsi="Calibri Light" w:cs="Calibri Light"/>
          <w:sz w:val="22"/>
          <w:szCs w:val="22"/>
        </w:rPr>
      </w:pPr>
    </w:p>
    <w:p>
      <w:pPr>
        <w:pStyle w:val="ListParagraph"/>
        <w:numPr>
          <w:ilvl w:val="0"/>
          <w:numId w:val="5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Our assessment system </w:t>
      </w:r>
      <w:r>
        <w:rPr>
          <w:rFonts w:ascii="Calibri Light" w:hAnsi="Calibri Light" w:cs="Calibri Light"/>
          <w:b/>
          <w:bCs/>
          <w:sz w:val="22"/>
          <w:szCs w:val="22"/>
        </w:rPr>
        <w:t>isn’t</w:t>
      </w:r>
      <w:r>
        <w:rPr>
          <w:rFonts w:ascii="Calibri Light" w:hAnsi="Calibri Light" w:cs="Calibri Light"/>
          <w:sz w:val="22"/>
          <w:szCs w:val="22"/>
        </w:rPr>
        <w:t xml:space="preserve"> a continuum. It is a discrete system based upon the underpinning concept of mastery. That means that Year 1 mastery isn’t followed by Year 2 emerging B. Year 2 emerging is </w:t>
      </w:r>
      <w:r>
        <w:rPr>
          <w:rFonts w:ascii="Calibri Light" w:hAnsi="Calibri Light" w:cs="Calibri Light"/>
          <w:b/>
          <w:bCs/>
          <w:sz w:val="22"/>
          <w:szCs w:val="22"/>
        </w:rPr>
        <w:t>not</w:t>
      </w:r>
      <w:r>
        <w:rPr>
          <w:rFonts w:ascii="Calibri Light" w:hAnsi="Calibri Light" w:cs="Calibri Light"/>
          <w:sz w:val="22"/>
          <w:szCs w:val="22"/>
        </w:rPr>
        <w:t xml:space="preserve"> a progression from Year 1 mastery. At the start of Year 2 the pupil’s baseline performance is Year 1 mastery. During Year 2 the teacher assesses the pupil on the Year 2 objectives. A pupil 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doesn’t </w:t>
      </w:r>
      <w:r>
        <w:rPr>
          <w:rFonts w:ascii="Calibri Light" w:hAnsi="Calibri Light" w:cs="Calibri Light"/>
          <w:sz w:val="22"/>
          <w:szCs w:val="22"/>
        </w:rPr>
        <w:t xml:space="preserve">have to achieve Year 1 mastery before moving up to Year 2 emerging - as Year 2 emerging isn’t a higher performance standard, but a discrete </w:t>
      </w:r>
      <w:proofErr w:type="gramStart"/>
      <w:r>
        <w:rPr>
          <w:rFonts w:ascii="Calibri Light" w:hAnsi="Calibri Light" w:cs="Calibri Light"/>
          <w:sz w:val="22"/>
          <w:szCs w:val="22"/>
        </w:rPr>
        <w:t>measurement</w:t>
      </w:r>
      <w:proofErr w:type="gramEnd"/>
      <w:r>
        <w:rPr>
          <w:rFonts w:ascii="Calibri Light" w:hAnsi="Calibri Light" w:cs="Calibri Light"/>
          <w:sz w:val="22"/>
          <w:szCs w:val="22"/>
        </w:rPr>
        <w:t xml:space="preserve"> of progress within the Year 2 curriculum. </w:t>
      </w:r>
    </w:p>
    <w:p>
      <w:pPr>
        <w:rPr>
          <w:rFonts w:ascii="Calibri Light" w:hAnsi="Calibri Light" w:cs="Calibri Light"/>
          <w:b/>
          <w:sz w:val="22"/>
          <w:szCs w:val="22"/>
          <w:lang w:val="cy-GB"/>
        </w:rPr>
      </w:pPr>
    </w:p>
    <w:p>
      <w:pPr>
        <w:rPr>
          <w:rFonts w:ascii="Calibri Light" w:hAnsi="Calibri Light" w:cs="Calibri Light"/>
          <w:b/>
          <w:sz w:val="22"/>
          <w:szCs w:val="22"/>
          <w:lang w:val="cy-GB"/>
        </w:rPr>
      </w:pPr>
      <w:r>
        <w:rPr>
          <w:rFonts w:ascii="Calibri Light" w:hAnsi="Calibri Light" w:cs="Calibri Light"/>
          <w:b/>
          <w:sz w:val="22"/>
          <w:szCs w:val="22"/>
          <w:lang w:val="cy-GB"/>
        </w:rPr>
        <w:t>Effort grades</w:t>
      </w:r>
    </w:p>
    <w:p>
      <w:pPr>
        <w:jc w:val="both"/>
        <w:rPr>
          <w:rFonts w:ascii="Calibri Light" w:hAnsi="Calibri Light" w:cs="Calibri Light"/>
          <w:sz w:val="22"/>
          <w:szCs w:val="22"/>
          <w:lang w:val="cy-GB"/>
        </w:rPr>
      </w:pPr>
      <w:r>
        <w:rPr>
          <w:rFonts w:ascii="Calibri Light" w:hAnsi="Calibri Light" w:cs="Calibri Light"/>
          <w:sz w:val="22"/>
          <w:szCs w:val="22"/>
          <w:lang w:val="cy-GB"/>
        </w:rPr>
        <w:t>Attainment and effort are very different measures. The description for the four effort grades at Barnes are as follows:</w:t>
      </w:r>
    </w:p>
    <w:p>
      <w:pPr>
        <w:rPr>
          <w:rFonts w:ascii="Calibri Light" w:hAnsi="Calibri Light" w:cs="Calibri Light"/>
          <w:b/>
          <w:sz w:val="22"/>
          <w:szCs w:val="22"/>
          <w:lang w:val="cy-GB"/>
        </w:rPr>
      </w:pPr>
    </w:p>
    <w:p>
      <w:pPr>
        <w:rPr>
          <w:rFonts w:ascii="Calibri Light" w:hAnsi="Calibri Light" w:cs="Calibri Light"/>
          <w:b/>
          <w:sz w:val="22"/>
          <w:szCs w:val="22"/>
          <w:lang w:val="cy-GB"/>
        </w:rPr>
      </w:pPr>
    </w:p>
    <w:p>
      <w:pPr>
        <w:rPr>
          <w:rFonts w:ascii="Calibri Light" w:hAnsi="Calibri Light" w:cs="Calibri Light"/>
          <w:sz w:val="22"/>
          <w:szCs w:val="22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6450"/>
      </w:tblGrid>
      <w:t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Outstanding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0"/>
                <w:numId w:val="6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displays positive learning behaviour and exceptional commitment all, or virtually all, of the time.</w:t>
            </w:r>
          </w:p>
          <w:p>
            <w:pPr>
              <w:numPr>
                <w:ilvl w:val="0"/>
                <w:numId w:val="6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is inquistive to learn more, continually uses their initiative and shows a total commitment to self-improvement.</w:t>
            </w:r>
          </w:p>
          <w:p>
            <w:pPr>
              <w:numPr>
                <w:ilvl w:val="0"/>
                <w:numId w:val="6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reads very frequently and completes all, or virtually all, home learning assignments to the best of their ability.</w:t>
            </w:r>
          </w:p>
          <w:p>
            <w:pPr>
              <w:numPr>
                <w:ilvl w:val="0"/>
                <w:numId w:val="6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constantly and consistently does their best.</w:t>
            </w:r>
          </w:p>
        </w:tc>
      </w:tr>
      <w:t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Good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0"/>
                <w:numId w:val="7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In general, the pupil is motivated to do well. The pupil tries hard most of the time. The pupil’s learning behaviour is good, though it is not yet exceptional.</w:t>
            </w:r>
          </w:p>
          <w:p>
            <w:pPr>
              <w:numPr>
                <w:ilvl w:val="0"/>
                <w:numId w:val="7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shows an interest in learning; sometimes using their own initiative. The pupil shows some interest in self-improvement.</w:t>
            </w:r>
          </w:p>
          <w:p>
            <w:pPr>
              <w:numPr>
                <w:ilvl w:val="0"/>
                <w:numId w:val="7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reads regularly and completes most home learning assignments reasonably well.</w:t>
            </w:r>
          </w:p>
          <w:p>
            <w:pPr>
              <w:numPr>
                <w:ilvl w:val="0"/>
                <w:numId w:val="7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usually does their best.</w:t>
            </w:r>
          </w:p>
        </w:tc>
      </w:tr>
      <w:t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Satisfactory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0"/>
                <w:numId w:val="8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pupil’s learning behaviour and commitment to school learning and home learning are perfectly adequate, but no more.</w:t>
            </w:r>
          </w:p>
          <w:p>
            <w:pPr>
              <w:numPr>
                <w:ilvl w:val="0"/>
                <w:numId w:val="8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The pupil’s effort is not inadequate, as described below, but the pupil rarely, or only infrequently, exhibits the more mature behaviours described above. </w:t>
            </w:r>
          </w:p>
          <w:p>
            <w:pPr>
              <w:numPr>
                <w:ilvl w:val="0"/>
                <w:numId w:val="8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sometimes does their best, but rarely ‘pushes themself’</w:t>
            </w:r>
          </w:p>
        </w:tc>
      </w:tr>
      <w:t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Requires improvement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0"/>
                <w:numId w:val="8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The pupil’s expectations are not sufficiently high. </w:t>
            </w:r>
          </w:p>
          <w:p>
            <w:pPr>
              <w:numPr>
                <w:ilvl w:val="0"/>
                <w:numId w:val="8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Their learning behaviour inhibits them from making the progress the pupil is capable of and the pupil is likely to be underachieving. </w:t>
            </w:r>
          </w:p>
          <w:p>
            <w:pPr>
              <w:numPr>
                <w:ilvl w:val="0"/>
                <w:numId w:val="8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can sometimes behave in ways that disrupt others.</w:t>
            </w:r>
          </w:p>
          <w:p>
            <w:pPr>
              <w:numPr>
                <w:ilvl w:val="0"/>
                <w:numId w:val="8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Home reading is infrequent and home learning assignments are often not completed, or completed to a low standard.  </w:t>
            </w:r>
          </w:p>
          <w:p>
            <w:pPr>
              <w:numPr>
                <w:ilvl w:val="0"/>
                <w:numId w:val="8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rarely does their best.</w:t>
            </w:r>
          </w:p>
        </w:tc>
      </w:tr>
    </w:tbl>
    <w:p>
      <w:pPr>
        <w:rPr>
          <w:rFonts w:ascii="Calibri Light" w:hAnsi="Calibri Light" w:cs="Calibri Light"/>
          <w:b/>
          <w:sz w:val="22"/>
          <w:szCs w:val="22"/>
          <w:lang w:val="cy-GB"/>
        </w:rPr>
      </w:pPr>
    </w:p>
    <w:p>
      <w:pPr>
        <w:rPr>
          <w:rFonts w:ascii="Calibri Light" w:hAnsi="Calibri Light" w:cs="Calibri Light"/>
          <w:b/>
          <w:sz w:val="22"/>
          <w:szCs w:val="22"/>
          <w:lang w:val="cy-GB"/>
        </w:rPr>
      </w:pPr>
    </w:p>
    <w:p>
      <w:pPr>
        <w:rPr>
          <w:rFonts w:ascii="Calibri Light" w:hAnsi="Calibri Light" w:cs="Calibri Light"/>
          <w:b/>
          <w:sz w:val="22"/>
          <w:szCs w:val="22"/>
          <w:lang w:val="cy-GB"/>
        </w:rPr>
      </w:pPr>
    </w:p>
    <w:p>
      <w:pPr>
        <w:rPr>
          <w:rFonts w:ascii="Calibri Light" w:hAnsi="Calibri Light" w:cs="Calibri Light"/>
          <w:sz w:val="22"/>
          <w:szCs w:val="22"/>
          <w:lang w:val="cy-GB"/>
        </w:rPr>
      </w:pPr>
    </w:p>
    <w:p/>
    <w:sectPr>
      <w:pgSz w:w="11906" w:h="16838" w:code="9"/>
      <w:pgMar w:top="737" w:right="170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66BB1"/>
    <w:multiLevelType w:val="hybridMultilevel"/>
    <w:tmpl w:val="C8587A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825E76"/>
    <w:multiLevelType w:val="hybridMultilevel"/>
    <w:tmpl w:val="1F1602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D66402"/>
    <w:multiLevelType w:val="hybridMultilevel"/>
    <w:tmpl w:val="D22684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6D1CB7"/>
    <w:multiLevelType w:val="hybridMultilevel"/>
    <w:tmpl w:val="90128C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5FCD1-E9B7-4218-AF39-CC463CA0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qFormat/>
    <w:pPr>
      <w:ind w:left="72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Barnes Primary School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Hegarty</dc:creator>
  <cp:keywords/>
  <dc:description/>
  <cp:lastModifiedBy>Harjit Singh- IT Technician</cp:lastModifiedBy>
  <cp:revision>4</cp:revision>
  <dcterms:created xsi:type="dcterms:W3CDTF">2020-07-10T13:43:00Z</dcterms:created>
  <dcterms:modified xsi:type="dcterms:W3CDTF">2021-04-22T08:08:00Z</dcterms:modified>
</cp:coreProperties>
</file>