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alibri Light" w:hAnsi="Calibri Light" w:cs="Calibri Light"/>
          <w:b/>
          <w:sz w:val="28"/>
          <w:szCs w:val="28"/>
          <w:lang w:val="cy-GB"/>
        </w:rPr>
      </w:pPr>
      <w:r>
        <w:rPr>
          <w:rFonts w:ascii="Calibri Light" w:hAnsi="Calibri Light" w:cs="Calibri Light"/>
          <w:b/>
          <w:sz w:val="28"/>
          <w:szCs w:val="28"/>
          <w:lang w:val="cy-GB"/>
        </w:rPr>
        <w:t>Interpreting end of year attainment descriptors and effort grades</w:t>
      </w:r>
    </w:p>
    <w:p>
      <w:pPr>
        <w:rPr>
          <w:rFonts w:ascii="Calibri Light" w:hAnsi="Calibri Light" w:cs="Calibri Light"/>
          <w:b/>
          <w:sz w:val="28"/>
          <w:szCs w:val="28"/>
          <w:lang w:val="cy-GB"/>
        </w:rPr>
      </w:pPr>
    </w:p>
    <w:p>
      <w:pPr>
        <w:jc w:val="both"/>
        <w:rPr>
          <w:rFonts w:ascii="Arial" w:hAnsi="Arial" w:cs="Arial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Explaining attainment descriptors in Year 1</w:t>
      </w: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In all subject areas there are four performance tiers: </w:t>
      </w:r>
    </w:p>
    <w:p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Emerging </w:t>
      </w:r>
      <w:r>
        <w:rPr>
          <w:rFonts w:ascii="Calibri Light" w:hAnsi="Calibri Light" w:cs="Calibri Light"/>
          <w:sz w:val="22"/>
          <w:szCs w:val="22"/>
        </w:rPr>
        <w:t xml:space="preserve">(well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ind w:left="720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b/>
          <w:sz w:val="22"/>
          <w:szCs w:val="22"/>
          <w:lang w:val="en-US"/>
        </w:rPr>
        <w:t xml:space="preserve">Developing 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(slightly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  <w:lang w:val="en-US"/>
        </w:rPr>
        <w:t>)</w:t>
      </w:r>
    </w:p>
    <w:p>
      <w:pPr>
        <w:ind w:left="720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b/>
          <w:sz w:val="22"/>
          <w:szCs w:val="22"/>
          <w:lang w:val="en-US"/>
        </w:rPr>
        <w:t>Secure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(performing at the year group /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nationally expected standard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) </w:t>
      </w:r>
    </w:p>
    <w:p>
      <w:pPr>
        <w:ind w:left="720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b/>
          <w:sz w:val="22"/>
          <w:szCs w:val="22"/>
          <w:lang w:val="en-US"/>
        </w:rPr>
        <w:t>Mastery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(performing at a high level; beyond the year group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/ nationally expected standard</w:t>
      </w:r>
      <w:r>
        <w:rPr>
          <w:rFonts w:ascii="Calibri Light" w:hAnsi="Calibri Light" w:cs="Calibri Light"/>
          <w:sz w:val="22"/>
          <w:szCs w:val="22"/>
          <w:lang w:val="en-US"/>
        </w:rPr>
        <w:t>).</w:t>
      </w:r>
    </w:p>
    <w:p>
      <w:pPr>
        <w:ind w:left="72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>
      <w:pPr>
        <w:numPr>
          <w:ilvl w:val="0"/>
          <w:numId w:val="6"/>
        </w:numPr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To refine more precisely exactly how well pupils are preforming Emerging is subdivided into two.</w:t>
      </w:r>
    </w:p>
    <w:p>
      <w:pPr>
        <w:ind w:left="72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B </w:t>
      </w:r>
      <w:r>
        <w:rPr>
          <w:rFonts w:ascii="Calibri Light" w:hAnsi="Calibri Light" w:cs="Calibri Light"/>
          <w:sz w:val="22"/>
          <w:szCs w:val="22"/>
          <w:lang w:val="cy-GB"/>
        </w:rPr>
        <w:t>indicates the lowest possible performance for that particular year group.</w:t>
      </w:r>
    </w:p>
    <w:p>
      <w:pPr>
        <w:ind w:left="72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A </w:t>
      </w:r>
      <w:r>
        <w:rPr>
          <w:rFonts w:ascii="Calibri Light" w:hAnsi="Calibri Light" w:cs="Calibri Light"/>
          <w:sz w:val="22"/>
          <w:szCs w:val="22"/>
          <w:lang w:val="cy-GB"/>
        </w:rPr>
        <w:t>is a higher performance standard within the emerging category.</w:t>
      </w:r>
    </w:p>
    <w:p>
      <w:pPr>
        <w:rPr>
          <w:rFonts w:ascii="Calibri Light" w:hAnsi="Calibri Light" w:cs="Calibri Light"/>
          <w:b/>
          <w:sz w:val="16"/>
          <w:szCs w:val="16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2469"/>
        <w:gridCol w:w="4168"/>
      </w:tblGrid>
      <w:tr>
        <w:trPr>
          <w:trHeight w:val="340"/>
        </w:trPr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 xml:space="preserve">These are the </w:t>
            </w:r>
            <w:r>
              <w:rPr>
                <w:rFonts w:ascii="Calibri Light" w:hAnsi="Calibri Light" w:cs="Calibri Light"/>
                <w:b/>
                <w:sz w:val="22"/>
                <w:szCs w:val="22"/>
                <w:u w:val="single"/>
                <w:lang w:val="cy-GB"/>
              </w:rPr>
              <w:t>end of year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 xml:space="preserve"> attainment performance tiers for Year 1 </w:t>
            </w:r>
          </w:p>
          <w:p>
            <w:pP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</w:tc>
      </w:tr>
      <w:t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Assessment level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Comment in relation to the national average</w:t>
            </w:r>
          </w:p>
        </w:tc>
      </w:tr>
      <w:t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1 Emerging B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(1EB)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significantly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(broadly 18 months, or more, behind) </w:t>
            </w:r>
          </w:p>
        </w:tc>
      </w:tr>
      <w:t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1 Emerging A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(1EA)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well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12 months, or slightly more, behind)</w:t>
            </w:r>
          </w:p>
        </w:tc>
      </w:tr>
      <w:t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1 Developing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(1D)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slightly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6-9 months behind)</w:t>
            </w:r>
          </w:p>
        </w:tc>
      </w:tr>
      <w:t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1 Secure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(1S)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in line with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nationally expected performance for this age</w:t>
            </w:r>
          </w:p>
        </w:tc>
      </w:tr>
      <w:t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Year 1 Mastery  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(1M)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above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 age</w:t>
            </w:r>
          </w:p>
        </w:tc>
      </w:tr>
    </w:tbl>
    <w:p>
      <w:pPr>
        <w:rPr>
          <w:rFonts w:ascii="Calibri Light" w:hAnsi="Calibri Light" w:cs="Calibri Light"/>
          <w:b/>
          <w:sz w:val="16"/>
          <w:szCs w:val="16"/>
          <w:lang w:val="cy-GB"/>
        </w:rPr>
      </w:pPr>
    </w:p>
    <w:p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The performance tiers</w:t>
      </w:r>
    </w:p>
    <w:p>
      <w:pPr>
        <w:jc w:val="both"/>
        <w:rPr>
          <w:rFonts w:ascii="Calibri Light" w:hAnsi="Calibri Light" w:cs="Calibri Light"/>
          <w:b/>
          <w:bCs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Calibri" w:hAnsi="Calibri Light" w:cs="Calibri Light"/>
          <w:b/>
          <w:sz w:val="22"/>
          <w:szCs w:val="22"/>
          <w:lang w:val="en-US"/>
        </w:rPr>
      </w:pPr>
      <w:r>
        <w:rPr>
          <w:rFonts w:ascii="Calibri Light" w:eastAsia="Calibri" w:hAnsi="Calibri Light" w:cs="Calibri Light"/>
          <w:b/>
          <w:sz w:val="22"/>
          <w:szCs w:val="22"/>
          <w:lang w:val="en-US"/>
        </w:rPr>
        <w:t xml:space="preserve">Emerging B: </w:t>
      </w:r>
      <w:r>
        <w:rPr>
          <w:rFonts w:ascii="Calibri Light" w:eastAsia="Calibri" w:hAnsi="Calibri Light" w:cs="Calibri Light"/>
          <w:sz w:val="22"/>
          <w:szCs w:val="22"/>
          <w:lang w:val="en-US"/>
        </w:rPr>
        <w:t>Less than 25% of the end of year objectives met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Calibri" w:hAnsi="Calibri Light" w:cs="Calibri Light"/>
          <w:b/>
          <w:sz w:val="22"/>
          <w:szCs w:val="22"/>
          <w:lang w:val="en-US"/>
        </w:rPr>
      </w:pPr>
      <w:r>
        <w:rPr>
          <w:rFonts w:ascii="Calibri Light" w:eastAsia="Calibri" w:hAnsi="Calibri Light" w:cs="Calibri Light"/>
          <w:b/>
          <w:sz w:val="22"/>
          <w:szCs w:val="22"/>
          <w:lang w:val="en-US"/>
        </w:rPr>
        <w:t xml:space="preserve">Emerging A: </w:t>
      </w:r>
      <w:r>
        <w:rPr>
          <w:rFonts w:ascii="Calibri Light" w:eastAsia="Calibri" w:hAnsi="Calibri Light" w:cs="Calibri Light"/>
          <w:sz w:val="22"/>
          <w:szCs w:val="22"/>
          <w:lang w:val="en-US"/>
        </w:rPr>
        <w:t xml:space="preserve">25% of the end of year objectives met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Calibri" w:hAnsi="Calibri Light" w:cs="Calibri Light"/>
          <w:sz w:val="22"/>
          <w:szCs w:val="22"/>
          <w:lang w:val="en-US"/>
        </w:rPr>
      </w:pPr>
      <w:r>
        <w:rPr>
          <w:rFonts w:ascii="Calibri Light" w:eastAsia="Calibri" w:hAnsi="Calibri Light" w:cs="Calibri Light"/>
          <w:b/>
          <w:sz w:val="22"/>
          <w:szCs w:val="22"/>
          <w:lang w:val="en-US"/>
        </w:rPr>
        <w:t xml:space="preserve">Developing: </w:t>
      </w:r>
      <w:r>
        <w:rPr>
          <w:rFonts w:ascii="Calibri Light" w:eastAsia="Calibri" w:hAnsi="Calibri Light" w:cs="Calibri Light"/>
          <w:sz w:val="22"/>
          <w:szCs w:val="22"/>
          <w:lang w:val="en-US"/>
        </w:rPr>
        <w:t>Approximately 50% of the end of year objectives met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Calibri" w:hAnsi="Calibri Light" w:cs="Calibri Light"/>
          <w:sz w:val="22"/>
          <w:szCs w:val="22"/>
          <w:lang w:val="en-US"/>
        </w:rPr>
      </w:pPr>
      <w:r>
        <w:rPr>
          <w:rFonts w:ascii="Calibri Light" w:eastAsia="Calibri" w:hAnsi="Calibri Light" w:cs="Calibri Light"/>
          <w:b/>
          <w:sz w:val="22"/>
          <w:szCs w:val="22"/>
          <w:lang w:val="en-US"/>
        </w:rPr>
        <w:t xml:space="preserve">Secure: </w:t>
      </w:r>
      <w:r>
        <w:rPr>
          <w:rFonts w:ascii="Calibri Light" w:eastAsia="Calibri" w:hAnsi="Calibri Light" w:cs="Calibri Light"/>
          <w:sz w:val="22"/>
          <w:szCs w:val="22"/>
          <w:lang w:val="en-US"/>
        </w:rPr>
        <w:t xml:space="preserve">Approximately 80% of the end of year objectives met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Calibri" w:hAnsi="Calibri Light" w:cs="Calibri Light"/>
          <w:sz w:val="22"/>
          <w:szCs w:val="22"/>
          <w:lang w:val="en-US"/>
        </w:rPr>
      </w:pPr>
      <w:r>
        <w:rPr>
          <w:rFonts w:ascii="Calibri Light" w:eastAsia="Calibri" w:hAnsi="Calibri Light" w:cs="Calibri Light"/>
          <w:b/>
          <w:sz w:val="22"/>
          <w:szCs w:val="22"/>
          <w:lang w:val="en-US"/>
        </w:rPr>
        <w:t xml:space="preserve">Mastery: </w:t>
      </w:r>
      <w:r>
        <w:rPr>
          <w:rFonts w:ascii="Calibri Light" w:eastAsia="Calibri" w:hAnsi="Calibri Light" w:cs="Calibri Light"/>
          <w:sz w:val="22"/>
          <w:szCs w:val="22"/>
          <w:lang w:val="en-US"/>
        </w:rPr>
        <w:t>100% of the end of year objectives met</w:t>
      </w:r>
    </w:p>
    <w:p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b/>
          <w:sz w:val="22"/>
          <w:szCs w:val="22"/>
          <w:lang w:val="en-US"/>
        </w:rPr>
        <w:t>A pupil can’t be assessed ‘outside their year group’.</w:t>
      </w:r>
    </w:p>
    <w:p>
      <w:pPr>
        <w:ind w:left="360"/>
        <w:jc w:val="center"/>
        <w:rPr>
          <w:rFonts w:ascii="Calibri Light" w:hAnsi="Calibri Light" w:cs="Calibri Light"/>
          <w:sz w:val="22"/>
          <w:szCs w:val="22"/>
          <w:lang w:val="en-US"/>
        </w:rPr>
      </w:pPr>
    </w:p>
    <w:p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Our assessment system </w:t>
      </w:r>
      <w:r>
        <w:rPr>
          <w:rFonts w:ascii="Calibri Light" w:hAnsi="Calibri Light" w:cs="Calibri Light"/>
          <w:b/>
          <w:bCs/>
          <w:sz w:val="22"/>
          <w:szCs w:val="22"/>
          <w:lang w:val="en-US"/>
        </w:rPr>
        <w:t>isn’t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a continuum. It is a discrete system based upon the underpinning concept of mastery. That means that Year 1 mastery isn’t followed by Year 2 emerging B. Year 2 emerging is </w:t>
      </w:r>
      <w:r>
        <w:rPr>
          <w:rFonts w:ascii="Calibri Light" w:hAnsi="Calibri Light" w:cs="Calibri Light"/>
          <w:b/>
          <w:bCs/>
          <w:sz w:val="22"/>
          <w:szCs w:val="22"/>
          <w:lang w:val="en-US"/>
        </w:rPr>
        <w:t>not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a progression from Year 1 mastery. At the start of Year 2 the pupil’s baseline performance is Year 1 mastery. During Year 2 the teacher assesses the pupil on the Year 2 objectives. A pupil </w:t>
      </w:r>
      <w:r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doesn’t 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have to achieve Year 1 mastery before moving up to Year 2 emerging - as Year 2 emerging isn’t a higher performance standard, but a discrete measurement of progress within the Year 2 curriculum. </w:t>
      </w: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Effort grades</w:t>
      </w:r>
    </w:p>
    <w:p>
      <w:pPr>
        <w:jc w:val="both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Attainment and effort are very different measures. The description for the four effort grades at Barnes are as follows:</w:t>
      </w:r>
    </w:p>
    <w:p>
      <w:pPr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6450"/>
      </w:tblGrid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Outstanding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displays positive learning behaviour and exceptional commitment all, or virtually all, of the time.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is inquistive to learn more, continually uses their initiative and shows a total commitment to self-improvement.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very frequently and completes all, or virtually all, home learning assignments to the best of their ability.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constantly and consistently does their best.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Good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In general, the pupil is motivated to do well. The pupil tries hard most of the time. The pupil’s learning behaviour is good, though it is not yet exceptional.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shows an interest in learning; sometimes using their own initiative. The pupil shows some interest in self-improvement.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regularly and completes most home learning assignments reasonably well.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usually does their best.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Satisfactory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pupil’s learning behaviour and commitment to school learning and home learning are perfectly adequate, but no more.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effort is not inadequate, as described below, but the pupil rarely, or only infrequently, exhibits the more mature behaviours described above. 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sometimes does their best, but rarely ‘pushes themself’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Requires improvement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expectations are not sufficiently high. 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Their learning behaviour inhibits them from making the progress the pupil is capable of and the pupil is likely to be underachieving. 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can sometimes behave in ways that disrupt others.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Home reading is infrequent and home learning assignments are often not completed, or completed to a low standard.  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rarely does their best.</w:t>
            </w:r>
          </w:p>
        </w:tc>
      </w:tr>
    </w:tbl>
    <w:p>
      <w:pPr>
        <w:rPr>
          <w:rFonts w:ascii="Arial" w:hAnsi="Arial" w:cs="Arial"/>
          <w:sz w:val="22"/>
          <w:szCs w:val="22"/>
          <w:lang w:val="cy-GB"/>
        </w:rPr>
      </w:pPr>
    </w:p>
    <w:p>
      <w:pPr>
        <w:rPr>
          <w:rFonts w:ascii="Comic Sans MS" w:hAnsi="Comic Sans MS"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sz w:val="22"/>
          <w:szCs w:val="22"/>
          <w:lang w:val="cy-GB"/>
        </w:rPr>
      </w:pPr>
    </w:p>
    <w:p>
      <w:bookmarkStart w:id="0" w:name="_GoBack"/>
      <w:bookmarkEnd w:id="0"/>
    </w:p>
    <w:sectPr>
      <w:pgSz w:w="11906" w:h="16838" w:code="9"/>
      <w:pgMar w:top="737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BB1"/>
    <w:multiLevelType w:val="hybridMultilevel"/>
    <w:tmpl w:val="C8587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25E76"/>
    <w:multiLevelType w:val="hybridMultilevel"/>
    <w:tmpl w:val="1F160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C5E08"/>
    <w:multiLevelType w:val="hybridMultilevel"/>
    <w:tmpl w:val="352A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6402"/>
    <w:multiLevelType w:val="hybridMultilevel"/>
    <w:tmpl w:val="D2268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6D1CB7"/>
    <w:multiLevelType w:val="hybridMultilevel"/>
    <w:tmpl w:val="90128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857E0"/>
    <w:multiLevelType w:val="hybridMultilevel"/>
    <w:tmpl w:val="E11A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FBBC0-19AC-4F6E-B63B-3974D22B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Hegarty</dc:creator>
  <cp:keywords/>
  <dc:description/>
  <cp:lastModifiedBy>Harjit Singh- IT Technician</cp:lastModifiedBy>
  <cp:revision>4</cp:revision>
  <dcterms:created xsi:type="dcterms:W3CDTF">2020-07-10T13:45:00Z</dcterms:created>
  <dcterms:modified xsi:type="dcterms:W3CDTF">2021-04-22T08:07:00Z</dcterms:modified>
</cp:coreProperties>
</file>