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88" w:rsidRPr="00557F6C" w:rsidRDefault="00557F6C">
      <w:pPr>
        <w:rPr>
          <w:rFonts w:ascii="NTPreCursive" w:hAnsi="NTPreCursive"/>
          <w:sz w:val="36"/>
        </w:rPr>
      </w:pPr>
      <w:r>
        <w:rPr>
          <w:rFonts w:ascii="NTPreCursive" w:hAnsi="NTPreCursive"/>
          <w:b/>
          <w:sz w:val="36"/>
        </w:rPr>
        <w:t xml:space="preserve">Adverbials: </w:t>
      </w:r>
      <w:r>
        <w:t xml:space="preserve"> </w:t>
      </w:r>
      <w:r w:rsidRPr="00557F6C">
        <w:rPr>
          <w:rFonts w:ascii="NTPreCursive" w:hAnsi="NTPreCursive"/>
          <w:sz w:val="36"/>
        </w:rPr>
        <w:t>shortly, until now, from there, as a consequence, from where, immediately after that,</w:t>
      </w:r>
    </w:p>
    <w:p w:rsidR="00557F6C" w:rsidRPr="00557F6C" w:rsidRDefault="00557F6C">
      <w:pPr>
        <w:rPr>
          <w:rFonts w:ascii="NTPreCursive" w:hAnsi="NTPreCursive"/>
          <w:b/>
          <w:sz w:val="36"/>
        </w:rPr>
      </w:pPr>
      <w:r w:rsidRPr="00557F6C">
        <w:rPr>
          <w:rFonts w:ascii="NTPreCursive" w:hAnsi="NTPreCursive"/>
          <w:b/>
          <w:sz w:val="36"/>
        </w:rPr>
        <w:t>Some connecting adverbials: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557F6C" w:rsidTr="00557F6C">
        <w:tc>
          <w:tcPr>
            <w:tcW w:w="2235" w:type="dxa"/>
          </w:tcPr>
          <w:p w:rsidR="00557F6C" w:rsidRDefault="00557F6C">
            <w:r w:rsidRPr="00557F6C">
              <w:rPr>
                <w:rFonts w:ascii="NTPreCursive" w:eastAsiaTheme="minorEastAsia" w:hAnsi="NTPreCursive" w:cs="Arial"/>
                <w:b/>
                <w:bCs/>
                <w:kern w:val="24"/>
                <w:sz w:val="36"/>
                <w:szCs w:val="36"/>
              </w:rPr>
              <w:t>Addition</w:t>
            </w:r>
          </w:p>
        </w:tc>
        <w:tc>
          <w:tcPr>
            <w:tcW w:w="7007" w:type="dxa"/>
          </w:tcPr>
          <w:p w:rsidR="00557F6C" w:rsidRPr="00557F6C" w:rsidRDefault="00557F6C" w:rsidP="00557F6C">
            <w:pPr>
              <w:pStyle w:val="NormalWeb"/>
              <w:spacing w:before="154" w:beforeAutospacing="0" w:after="0" w:afterAutospacing="0"/>
              <w:ind w:left="547" w:hanging="547"/>
              <w:rPr>
                <w:rFonts w:ascii="NTPreCursive" w:hAnsi="NTPreCursive"/>
                <w:sz w:val="36"/>
                <w:szCs w:val="36"/>
              </w:rPr>
            </w:pPr>
            <w:r w:rsidRPr="00557F6C">
              <w:rPr>
                <w:rFonts w:ascii="NTPreCursive" w:eastAsiaTheme="minorEastAsia" w:hAnsi="NTPreCursive" w:cs="Arial"/>
                <w:b/>
                <w:bCs/>
                <w:kern w:val="24"/>
                <w:sz w:val="36"/>
                <w:szCs w:val="36"/>
              </w:rPr>
              <w:t>also, furthermore, moreover</w:t>
            </w:r>
          </w:p>
          <w:p w:rsidR="00557F6C" w:rsidRDefault="00557F6C"/>
        </w:tc>
      </w:tr>
      <w:tr w:rsidR="00557F6C" w:rsidTr="00557F6C">
        <w:tc>
          <w:tcPr>
            <w:tcW w:w="2235" w:type="dxa"/>
          </w:tcPr>
          <w:p w:rsidR="00557F6C" w:rsidRDefault="00557F6C">
            <w:r w:rsidRPr="00557F6C">
              <w:rPr>
                <w:rFonts w:ascii="NTPreCursive" w:eastAsiaTheme="minorEastAsia" w:hAnsi="NTPreCursive" w:cs="Arial"/>
                <w:b/>
                <w:bCs/>
                <w:kern w:val="24"/>
                <w:sz w:val="36"/>
                <w:szCs w:val="36"/>
              </w:rPr>
              <w:t>Opposition</w:t>
            </w:r>
          </w:p>
        </w:tc>
        <w:tc>
          <w:tcPr>
            <w:tcW w:w="7007" w:type="dxa"/>
          </w:tcPr>
          <w:p w:rsidR="00557F6C" w:rsidRPr="00557F6C" w:rsidRDefault="00557F6C" w:rsidP="00557F6C">
            <w:pPr>
              <w:pStyle w:val="NormalWeb"/>
              <w:spacing w:before="154" w:beforeAutospacing="0" w:after="0" w:afterAutospacing="0"/>
              <w:ind w:left="547" w:hanging="547"/>
              <w:rPr>
                <w:rFonts w:ascii="NTPreCursive" w:hAnsi="NTPreCursive"/>
                <w:sz w:val="36"/>
                <w:szCs w:val="36"/>
              </w:rPr>
            </w:pPr>
            <w:r w:rsidRPr="00557F6C">
              <w:rPr>
                <w:rFonts w:ascii="NTPreCursive" w:eastAsiaTheme="minorEastAsia" w:hAnsi="NTPreCursive" w:cs="Arial"/>
                <w:b/>
                <w:bCs/>
                <w:kern w:val="24"/>
                <w:sz w:val="36"/>
                <w:szCs w:val="36"/>
              </w:rPr>
              <w:t>however, nevertheless, on the</w:t>
            </w:r>
            <w:r>
              <w:rPr>
                <w:rFonts w:ascii="NTPreCursive" w:hAnsi="NTPreCursive"/>
                <w:sz w:val="36"/>
                <w:szCs w:val="36"/>
              </w:rPr>
              <w:t xml:space="preserve"> </w:t>
            </w:r>
            <w:r w:rsidRPr="00557F6C">
              <w:rPr>
                <w:rFonts w:ascii="NTPreCursive" w:eastAsiaTheme="minorEastAsia" w:hAnsi="NTPreCursive" w:cs="Arial"/>
                <w:b/>
                <w:bCs/>
                <w:kern w:val="24"/>
                <w:sz w:val="36"/>
                <w:szCs w:val="36"/>
              </w:rPr>
              <w:t>other hand</w:t>
            </w:r>
          </w:p>
          <w:p w:rsidR="00557F6C" w:rsidRDefault="00557F6C"/>
        </w:tc>
      </w:tr>
      <w:tr w:rsidR="00557F6C" w:rsidTr="00557F6C">
        <w:tc>
          <w:tcPr>
            <w:tcW w:w="2235" w:type="dxa"/>
          </w:tcPr>
          <w:p w:rsidR="00557F6C" w:rsidRDefault="00557F6C">
            <w:r w:rsidRPr="00557F6C">
              <w:rPr>
                <w:rFonts w:ascii="NTPreCursive" w:eastAsiaTheme="minorEastAsia" w:hAnsi="NTPreCursive" w:cs="Arial"/>
                <w:b/>
                <w:bCs/>
                <w:kern w:val="24"/>
                <w:sz w:val="36"/>
                <w:szCs w:val="36"/>
              </w:rPr>
              <w:t>Reinforcing</w:t>
            </w:r>
          </w:p>
        </w:tc>
        <w:tc>
          <w:tcPr>
            <w:tcW w:w="7007" w:type="dxa"/>
          </w:tcPr>
          <w:p w:rsidR="00557F6C" w:rsidRDefault="00557F6C">
            <w:r w:rsidRPr="00557F6C">
              <w:rPr>
                <w:rFonts w:ascii="NTPreCursive" w:eastAsiaTheme="minorEastAsia" w:hAnsi="NTPreCursive" w:cs="Arial"/>
                <w:b/>
                <w:bCs/>
                <w:kern w:val="24"/>
                <w:sz w:val="36"/>
                <w:szCs w:val="36"/>
              </w:rPr>
              <w:t>besides, anyway, after all</w:t>
            </w:r>
          </w:p>
        </w:tc>
      </w:tr>
      <w:tr w:rsidR="00557F6C" w:rsidTr="00557F6C">
        <w:tc>
          <w:tcPr>
            <w:tcW w:w="2235" w:type="dxa"/>
          </w:tcPr>
          <w:p w:rsidR="00557F6C" w:rsidRDefault="00557F6C">
            <w:r w:rsidRPr="00557F6C">
              <w:rPr>
                <w:rFonts w:ascii="NTPreCursive" w:eastAsiaTheme="minorEastAsia" w:hAnsi="NTPreCursive" w:cs="Arial"/>
                <w:b/>
                <w:bCs/>
                <w:kern w:val="24"/>
                <w:sz w:val="36"/>
                <w:szCs w:val="36"/>
              </w:rPr>
              <w:t>Explaining</w:t>
            </w:r>
          </w:p>
        </w:tc>
        <w:tc>
          <w:tcPr>
            <w:tcW w:w="7007" w:type="dxa"/>
          </w:tcPr>
          <w:p w:rsidR="00557F6C" w:rsidRPr="00557F6C" w:rsidRDefault="00557F6C" w:rsidP="00557F6C">
            <w:pPr>
              <w:pStyle w:val="NormalWeb"/>
              <w:spacing w:before="154" w:beforeAutospacing="0" w:after="0" w:afterAutospacing="0"/>
              <w:ind w:left="547" w:hanging="547"/>
              <w:rPr>
                <w:rFonts w:ascii="NTPreCursive" w:hAnsi="NTPreCursive"/>
                <w:sz w:val="36"/>
                <w:szCs w:val="36"/>
              </w:rPr>
            </w:pPr>
            <w:r w:rsidRPr="00557F6C">
              <w:rPr>
                <w:rFonts w:ascii="NTPreCursive" w:eastAsiaTheme="minorEastAsia" w:hAnsi="NTPreCursive" w:cs="Arial"/>
                <w:b/>
                <w:bCs/>
                <w:kern w:val="24"/>
                <w:sz w:val="36"/>
                <w:szCs w:val="36"/>
              </w:rPr>
              <w:t>for example, in other words,</w:t>
            </w:r>
            <w:r>
              <w:rPr>
                <w:rFonts w:ascii="NTPreCursive" w:hAnsi="NTPreCursive"/>
                <w:sz w:val="36"/>
                <w:szCs w:val="36"/>
              </w:rPr>
              <w:t xml:space="preserve"> </w:t>
            </w:r>
            <w:r w:rsidRPr="00557F6C">
              <w:rPr>
                <w:rFonts w:ascii="NTPreCursive" w:eastAsiaTheme="minorEastAsia" w:hAnsi="NTPreCursive" w:cs="Arial"/>
                <w:b/>
                <w:bCs/>
                <w:kern w:val="24"/>
                <w:sz w:val="36"/>
                <w:szCs w:val="36"/>
              </w:rPr>
              <w:t>that is to say</w:t>
            </w:r>
          </w:p>
          <w:p w:rsidR="00557F6C" w:rsidRDefault="00557F6C"/>
        </w:tc>
      </w:tr>
      <w:tr w:rsidR="00557F6C" w:rsidTr="00557F6C">
        <w:tc>
          <w:tcPr>
            <w:tcW w:w="2235" w:type="dxa"/>
          </w:tcPr>
          <w:p w:rsidR="00557F6C" w:rsidRDefault="00557F6C">
            <w:r w:rsidRPr="00557F6C">
              <w:rPr>
                <w:rFonts w:ascii="NTPreCursive" w:eastAsiaTheme="minorEastAsia" w:hAnsi="NTPreCursive" w:cs="Arial"/>
                <w:b/>
                <w:bCs/>
                <w:kern w:val="24"/>
                <w:sz w:val="36"/>
                <w:szCs w:val="36"/>
              </w:rPr>
              <w:t>Listing</w:t>
            </w:r>
          </w:p>
        </w:tc>
        <w:tc>
          <w:tcPr>
            <w:tcW w:w="7007" w:type="dxa"/>
          </w:tcPr>
          <w:p w:rsidR="00557F6C" w:rsidRDefault="00557F6C">
            <w:r w:rsidRPr="00557F6C">
              <w:rPr>
                <w:rFonts w:ascii="NTPreCursive" w:eastAsiaTheme="minorEastAsia" w:hAnsi="NTPreCursive" w:cs="Arial"/>
                <w:b/>
                <w:bCs/>
                <w:kern w:val="24"/>
                <w:sz w:val="36"/>
                <w:szCs w:val="36"/>
              </w:rPr>
              <w:t>first,  first of all, finally</w:t>
            </w:r>
          </w:p>
        </w:tc>
      </w:tr>
      <w:tr w:rsidR="00557F6C" w:rsidTr="00557F6C">
        <w:tc>
          <w:tcPr>
            <w:tcW w:w="2235" w:type="dxa"/>
          </w:tcPr>
          <w:p w:rsidR="00557F6C" w:rsidRDefault="00557F6C">
            <w:r w:rsidRPr="00557F6C">
              <w:rPr>
                <w:rFonts w:ascii="NTPreCursive" w:eastAsiaTheme="minorEastAsia" w:hAnsi="NTPreCursive" w:cs="Arial"/>
                <w:b/>
                <w:bCs/>
                <w:kern w:val="24"/>
                <w:sz w:val="36"/>
                <w:szCs w:val="36"/>
              </w:rPr>
              <w:t>Indicating result</w:t>
            </w:r>
          </w:p>
        </w:tc>
        <w:tc>
          <w:tcPr>
            <w:tcW w:w="7007" w:type="dxa"/>
          </w:tcPr>
          <w:p w:rsidR="00557F6C" w:rsidRPr="00557F6C" w:rsidRDefault="00557F6C" w:rsidP="00557F6C">
            <w:pPr>
              <w:pStyle w:val="NormalWeb"/>
              <w:spacing w:before="154" w:beforeAutospacing="0" w:after="0" w:afterAutospacing="0"/>
              <w:ind w:left="547" w:hanging="547"/>
              <w:rPr>
                <w:rFonts w:ascii="NTPreCursive" w:hAnsi="NTPreCursive"/>
                <w:sz w:val="36"/>
                <w:szCs w:val="36"/>
              </w:rPr>
            </w:pPr>
            <w:r w:rsidRPr="00557F6C">
              <w:rPr>
                <w:rFonts w:ascii="NTPreCursive" w:eastAsiaTheme="minorEastAsia" w:hAnsi="NTPreCursive" w:cs="Arial"/>
                <w:b/>
                <w:bCs/>
                <w:kern w:val="24"/>
                <w:sz w:val="36"/>
                <w:szCs w:val="36"/>
              </w:rPr>
              <w:t>therefore, consequently,</w:t>
            </w:r>
            <w:r>
              <w:rPr>
                <w:rFonts w:ascii="NTPreCursive" w:hAnsi="NTPreCursive"/>
                <w:sz w:val="36"/>
                <w:szCs w:val="36"/>
              </w:rPr>
              <w:t xml:space="preserve"> </w:t>
            </w:r>
            <w:r w:rsidRPr="00557F6C">
              <w:rPr>
                <w:rFonts w:ascii="NTPreCursive" w:eastAsiaTheme="minorEastAsia" w:hAnsi="NTPreCursive" w:cs="Arial"/>
                <w:b/>
                <w:bCs/>
                <w:kern w:val="24"/>
                <w:sz w:val="36"/>
                <w:szCs w:val="36"/>
              </w:rPr>
              <w:t>as a result</w:t>
            </w:r>
          </w:p>
          <w:p w:rsidR="00557F6C" w:rsidRDefault="00557F6C"/>
        </w:tc>
      </w:tr>
      <w:tr w:rsidR="00557F6C" w:rsidTr="00557F6C">
        <w:tc>
          <w:tcPr>
            <w:tcW w:w="2235" w:type="dxa"/>
          </w:tcPr>
          <w:p w:rsidR="00557F6C" w:rsidRDefault="00557F6C">
            <w:r w:rsidRPr="00557F6C">
              <w:rPr>
                <w:rFonts w:ascii="NTPreCursive" w:eastAsiaTheme="minorEastAsia" w:hAnsi="NTPreCursive" w:cs="Arial"/>
                <w:b/>
                <w:bCs/>
                <w:kern w:val="24"/>
                <w:sz w:val="36"/>
                <w:szCs w:val="36"/>
              </w:rPr>
              <w:t>Indicating time</w:t>
            </w:r>
          </w:p>
        </w:tc>
        <w:tc>
          <w:tcPr>
            <w:tcW w:w="7007" w:type="dxa"/>
          </w:tcPr>
          <w:p w:rsidR="00557F6C" w:rsidRPr="00557F6C" w:rsidRDefault="00557F6C" w:rsidP="00557F6C">
            <w:pPr>
              <w:pStyle w:val="NormalWeb"/>
              <w:spacing w:before="154" w:beforeAutospacing="0" w:after="0" w:afterAutospacing="0"/>
              <w:ind w:left="547" w:hanging="547"/>
              <w:rPr>
                <w:rFonts w:ascii="NTPreCursive" w:hAnsi="NTPreCursive"/>
                <w:sz w:val="36"/>
                <w:szCs w:val="36"/>
              </w:rPr>
            </w:pPr>
            <w:r w:rsidRPr="00557F6C">
              <w:rPr>
                <w:rFonts w:ascii="NTPreCursive" w:eastAsiaTheme="minorEastAsia" w:hAnsi="NTPreCursive" w:cs="Arial"/>
                <w:b/>
                <w:bCs/>
                <w:kern w:val="24"/>
                <w:sz w:val="36"/>
                <w:szCs w:val="36"/>
              </w:rPr>
              <w:t>just then, meanwhile, later</w:t>
            </w:r>
          </w:p>
          <w:p w:rsidR="00557F6C" w:rsidRDefault="00557F6C"/>
        </w:tc>
      </w:tr>
    </w:tbl>
    <w:p w:rsidR="00557F6C" w:rsidRDefault="00557F6C"/>
    <w:p w:rsidR="00B2430A" w:rsidRPr="00A47BB6" w:rsidRDefault="00B2430A" w:rsidP="00B2430A">
      <w:pPr>
        <w:autoSpaceDE w:val="0"/>
        <w:autoSpaceDN w:val="0"/>
        <w:adjustRightInd w:val="0"/>
        <w:spacing w:after="0" w:line="240" w:lineRule="auto"/>
        <w:jc w:val="both"/>
        <w:rPr>
          <w:rFonts w:ascii="NTPreCursivefk" w:hAnsi="NTPreCursivefk" w:cs="CAAHHH+Verdana"/>
          <w:color w:val="000000"/>
          <w:sz w:val="40"/>
          <w:szCs w:val="40"/>
          <w:u w:val="single"/>
        </w:rPr>
      </w:pPr>
      <w:r>
        <w:rPr>
          <w:rFonts w:ascii="NTPreCursivefk" w:hAnsi="NTPreCursivefk" w:cs="CAAHHH+Verdana"/>
          <w:b/>
          <w:bCs/>
          <w:color w:val="000000"/>
          <w:sz w:val="40"/>
          <w:szCs w:val="40"/>
          <w:u w:val="single"/>
        </w:rPr>
        <w:t>C</w:t>
      </w:r>
      <w:r w:rsidRPr="00A47BB6">
        <w:rPr>
          <w:rFonts w:ascii="NTPreCursivefk" w:hAnsi="NTPreCursivefk" w:cs="CAAHHH+Verdana"/>
          <w:b/>
          <w:bCs/>
          <w:color w:val="000000"/>
          <w:sz w:val="40"/>
          <w:szCs w:val="40"/>
          <w:u w:val="single"/>
        </w:rPr>
        <w:t xml:space="preserve">oordinating Conjunctions </w:t>
      </w:r>
      <w:r>
        <w:rPr>
          <w:rFonts w:ascii="NTPreCursivefk" w:hAnsi="NTPreCursivefk" w:cs="CAAHHH+Verdana"/>
          <w:b/>
          <w:bCs/>
          <w:color w:val="000000"/>
          <w:sz w:val="40"/>
          <w:szCs w:val="40"/>
          <w:u w:val="single"/>
        </w:rPr>
        <w:t xml:space="preserve">– these split the two clauses </w:t>
      </w:r>
      <w:r w:rsidRPr="00A47BB6">
        <w:rPr>
          <w:rFonts w:ascii="NTPreCursivefk" w:hAnsi="NTPreCursivefk" w:cs="CAAHHH+Verdana"/>
          <w:b/>
          <w:bCs/>
          <w:color w:val="000000"/>
          <w:sz w:val="40"/>
          <w:szCs w:val="40"/>
          <w:u w:val="single"/>
        </w:rPr>
        <w:t xml:space="preserve">(there are seven): </w:t>
      </w:r>
    </w:p>
    <w:p w:rsidR="00B2430A" w:rsidRPr="00A47BB6" w:rsidRDefault="00B2430A" w:rsidP="00B243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NTPreCursivefk" w:hAnsi="NTPreCursivefk" w:cs="CAAIGM+LucidaConsole"/>
          <w:color w:val="000000"/>
          <w:sz w:val="12"/>
          <w:szCs w:val="40"/>
        </w:rPr>
      </w:pPr>
    </w:p>
    <w:p w:rsidR="00B2430A" w:rsidRPr="00A47BB6" w:rsidRDefault="00B2430A" w:rsidP="00B2430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NTPreCursivefk" w:hAnsi="NTPreCursivefk" w:cs="CAAIGM+LucidaConsole"/>
          <w:color w:val="000000"/>
          <w:sz w:val="40"/>
          <w:szCs w:val="40"/>
        </w:rPr>
      </w:pPr>
      <w:proofErr w:type="gramStart"/>
      <w:r>
        <w:rPr>
          <w:rFonts w:ascii="NTPreCursivefk" w:hAnsi="NTPreCursivefk" w:cs="CAAIGM+LucidaConsole"/>
          <w:color w:val="000000"/>
          <w:sz w:val="40"/>
          <w:szCs w:val="40"/>
        </w:rPr>
        <w:t>f</w:t>
      </w:r>
      <w:r w:rsidRPr="00A47BB6">
        <w:rPr>
          <w:rFonts w:ascii="NTPreCursivefk" w:hAnsi="NTPreCursivefk" w:cs="CAAIGM+LucidaConsole"/>
          <w:color w:val="000000"/>
          <w:sz w:val="40"/>
          <w:szCs w:val="40"/>
        </w:rPr>
        <w:t>or</w:t>
      </w:r>
      <w:proofErr w:type="gramEnd"/>
      <w:r w:rsidRPr="00A47BB6">
        <w:rPr>
          <w:rFonts w:ascii="NTPreCursivefk" w:hAnsi="NTPreCursivefk" w:cs="CAAIGM+LucidaConsole"/>
          <w:color w:val="000000"/>
          <w:sz w:val="40"/>
          <w:szCs w:val="40"/>
        </w:rPr>
        <w:t xml:space="preserve"> </w:t>
      </w:r>
      <w:r>
        <w:rPr>
          <w:rFonts w:ascii="NTPreCursivefk" w:hAnsi="NTPreCursivefk" w:cs="CAAIGM+LucidaConsole"/>
          <w:color w:val="000000"/>
          <w:sz w:val="40"/>
          <w:szCs w:val="40"/>
        </w:rPr>
        <w:t>a</w:t>
      </w:r>
      <w:r w:rsidRPr="00A47BB6">
        <w:rPr>
          <w:rFonts w:ascii="NTPreCursivefk" w:hAnsi="NTPreCursivefk" w:cs="CAAIGM+LucidaConsole"/>
          <w:color w:val="000000"/>
          <w:sz w:val="40"/>
          <w:szCs w:val="40"/>
        </w:rPr>
        <w:t xml:space="preserve">nd </w:t>
      </w:r>
      <w:r>
        <w:rPr>
          <w:rFonts w:ascii="NTPreCursivefk" w:hAnsi="NTPreCursivefk" w:cs="CAAIGM+LucidaConsole"/>
          <w:color w:val="000000"/>
          <w:sz w:val="40"/>
          <w:szCs w:val="40"/>
        </w:rPr>
        <w:t>n</w:t>
      </w:r>
      <w:r w:rsidRPr="00A47BB6">
        <w:rPr>
          <w:rFonts w:ascii="NTPreCursivefk" w:hAnsi="NTPreCursivefk" w:cs="CAAIGM+LucidaConsole"/>
          <w:color w:val="000000"/>
          <w:sz w:val="40"/>
          <w:szCs w:val="40"/>
        </w:rPr>
        <w:t xml:space="preserve">or </w:t>
      </w:r>
      <w:r>
        <w:rPr>
          <w:rFonts w:ascii="NTPreCursivefk" w:hAnsi="NTPreCursivefk" w:cs="CAAIGM+LucidaConsole"/>
          <w:color w:val="000000"/>
          <w:sz w:val="40"/>
          <w:szCs w:val="40"/>
        </w:rPr>
        <w:t>b</w:t>
      </w:r>
      <w:r w:rsidRPr="00A47BB6">
        <w:rPr>
          <w:rFonts w:ascii="NTPreCursivefk" w:hAnsi="NTPreCursivefk" w:cs="CAAIGM+LucidaConsole"/>
          <w:color w:val="000000"/>
          <w:sz w:val="40"/>
          <w:szCs w:val="40"/>
        </w:rPr>
        <w:t xml:space="preserve">ut </w:t>
      </w:r>
      <w:r>
        <w:rPr>
          <w:rFonts w:ascii="NTPreCursivefk" w:hAnsi="NTPreCursivefk" w:cs="CAAIGM+LucidaConsole"/>
          <w:color w:val="000000"/>
          <w:sz w:val="40"/>
          <w:szCs w:val="40"/>
        </w:rPr>
        <w:t>o</w:t>
      </w:r>
      <w:r w:rsidRPr="00A47BB6">
        <w:rPr>
          <w:rFonts w:ascii="NTPreCursivefk" w:hAnsi="NTPreCursivefk" w:cs="CAAIGM+LucidaConsole"/>
          <w:color w:val="000000"/>
          <w:sz w:val="40"/>
          <w:szCs w:val="40"/>
        </w:rPr>
        <w:t xml:space="preserve">r </w:t>
      </w:r>
      <w:r>
        <w:rPr>
          <w:rFonts w:ascii="NTPreCursivefk" w:hAnsi="NTPreCursivefk" w:cs="CAAIGM+LucidaConsole"/>
          <w:color w:val="000000"/>
          <w:sz w:val="40"/>
          <w:szCs w:val="40"/>
        </w:rPr>
        <w:t>y</w:t>
      </w:r>
      <w:r w:rsidRPr="00A47BB6">
        <w:rPr>
          <w:rFonts w:ascii="NTPreCursivefk" w:hAnsi="NTPreCursivefk" w:cs="CAAIGM+LucidaConsole"/>
          <w:color w:val="000000"/>
          <w:sz w:val="40"/>
          <w:szCs w:val="40"/>
        </w:rPr>
        <w:t xml:space="preserve">et </w:t>
      </w:r>
      <w:r>
        <w:rPr>
          <w:rFonts w:ascii="NTPreCursivefk" w:hAnsi="NTPreCursivefk" w:cs="CAAIGM+LucidaConsole"/>
          <w:color w:val="000000"/>
          <w:sz w:val="40"/>
          <w:szCs w:val="40"/>
        </w:rPr>
        <w:t>s</w:t>
      </w:r>
      <w:r w:rsidRPr="00A47BB6">
        <w:rPr>
          <w:rFonts w:ascii="NTPreCursivefk" w:hAnsi="NTPreCursivefk" w:cs="CAAIGM+LucidaConsole"/>
          <w:color w:val="000000"/>
          <w:sz w:val="40"/>
          <w:szCs w:val="40"/>
        </w:rPr>
        <w:t>o</w:t>
      </w:r>
    </w:p>
    <w:p w:rsidR="00B2430A" w:rsidRPr="00A47BB6" w:rsidRDefault="00B2430A" w:rsidP="00B2430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NTPreCursivefk" w:hAnsi="NTPreCursivefk" w:cs="CAAHHH+Verdana"/>
          <w:b/>
          <w:bCs/>
          <w:color w:val="000000"/>
          <w:sz w:val="32"/>
          <w:szCs w:val="40"/>
        </w:rPr>
      </w:pPr>
    </w:p>
    <w:p w:rsidR="00B2430A" w:rsidRPr="00A47BB6" w:rsidRDefault="00B2430A" w:rsidP="00B2430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NTPreCursivefk" w:hAnsi="NTPreCursivefk" w:cs="CAAHHH+Verdana"/>
          <w:b/>
          <w:bCs/>
          <w:color w:val="000000"/>
          <w:sz w:val="40"/>
          <w:szCs w:val="40"/>
          <w:u w:val="single"/>
        </w:rPr>
      </w:pPr>
      <w:r w:rsidRPr="00A47BB6">
        <w:rPr>
          <w:rFonts w:ascii="NTPreCursivefk" w:hAnsi="NTPreCursivefk" w:cs="CAAHHH+Verdana"/>
          <w:b/>
          <w:bCs/>
          <w:color w:val="000000"/>
          <w:sz w:val="40"/>
          <w:szCs w:val="40"/>
          <w:u w:val="single"/>
        </w:rPr>
        <w:t>Subordinating Conjunctions</w:t>
      </w:r>
      <w:r>
        <w:rPr>
          <w:rFonts w:ascii="NTPreCursivefk" w:hAnsi="NTPreCursivefk" w:cs="CAAHHH+Verdana"/>
          <w:b/>
          <w:bCs/>
          <w:color w:val="000000"/>
          <w:sz w:val="40"/>
          <w:szCs w:val="40"/>
          <w:u w:val="single"/>
        </w:rPr>
        <w:t xml:space="preserve"> – these can appear at the beginning of a sentence or in the middle of two clauses</w:t>
      </w:r>
      <w:r w:rsidRPr="00A47BB6">
        <w:rPr>
          <w:rFonts w:ascii="NTPreCursivefk" w:hAnsi="NTPreCursivefk" w:cs="CAAHHH+Verdana"/>
          <w:b/>
          <w:bCs/>
          <w:color w:val="000000"/>
          <w:sz w:val="40"/>
          <w:szCs w:val="40"/>
          <w:u w:val="single"/>
        </w:rPr>
        <w:t xml:space="preserve"> (these are only a few):</w:t>
      </w:r>
    </w:p>
    <w:p w:rsidR="00B2430A" w:rsidRPr="00A47BB6" w:rsidRDefault="00B2430A" w:rsidP="00B2430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NTPreCursivefk" w:hAnsi="NTPreCursivefk" w:cs="CAAHHH+Verdana"/>
          <w:b/>
          <w:bCs/>
          <w:color w:val="000000"/>
          <w:sz w:val="18"/>
          <w:szCs w:val="40"/>
        </w:rPr>
      </w:pPr>
    </w:p>
    <w:p w:rsidR="00B2430A" w:rsidRDefault="00B2430A" w:rsidP="00B2430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NTPreCursivefk" w:hAnsi="NTPreCursivefk" w:cs="CAAHHH+Verdana"/>
          <w:bCs/>
          <w:color w:val="000000"/>
          <w:sz w:val="40"/>
          <w:szCs w:val="40"/>
        </w:rPr>
      </w:pPr>
      <w:proofErr w:type="gramStart"/>
      <w:r>
        <w:rPr>
          <w:rFonts w:ascii="NTPreCursivefk" w:hAnsi="NTPreCursivefk" w:cs="CAAHHH+Verdana"/>
          <w:bCs/>
          <w:color w:val="000000"/>
          <w:sz w:val="40"/>
          <w:szCs w:val="40"/>
        </w:rPr>
        <w:t>a</w:t>
      </w:r>
      <w:r w:rsidRPr="00A47BB6">
        <w:rPr>
          <w:rFonts w:ascii="NTPreCursivefk" w:hAnsi="NTPreCursivefk" w:cs="CAAHHH+Verdana"/>
          <w:bCs/>
          <w:color w:val="000000"/>
          <w:sz w:val="40"/>
          <w:szCs w:val="40"/>
        </w:rPr>
        <w:t>fter</w:t>
      </w:r>
      <w:proofErr w:type="gramEnd"/>
      <w:r w:rsidRPr="00A47BB6">
        <w:rPr>
          <w:rFonts w:ascii="NTPreCursivefk" w:hAnsi="NTPreCursivefk" w:cs="CAAHHH+Verdana"/>
          <w:bCs/>
          <w:color w:val="000000"/>
          <w:sz w:val="40"/>
          <w:szCs w:val="40"/>
        </w:rPr>
        <w:t>, although, as, as if, as long as, although, because, before, even if, even though, if, once, provided, since, so that, though, unless, until, when, whenever, wherever, whether, while</w:t>
      </w:r>
    </w:p>
    <w:p w:rsidR="00B2430A" w:rsidRDefault="00B2430A" w:rsidP="00B2430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NTPreCursivefk" w:hAnsi="NTPreCursivefk" w:cs="CAAHHH+Verdana"/>
          <w:bCs/>
          <w:color w:val="000000"/>
          <w:sz w:val="40"/>
          <w:szCs w:val="40"/>
        </w:rPr>
      </w:pPr>
    </w:p>
    <w:p w:rsidR="00B2430A" w:rsidRPr="00B2430A" w:rsidRDefault="00B2430A" w:rsidP="00B2430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NTPreCursivefk" w:hAnsi="NTPreCursivefk" w:cs="CAAHHH+Verdana"/>
          <w:b/>
          <w:bCs/>
          <w:color w:val="000000"/>
          <w:sz w:val="40"/>
          <w:szCs w:val="40"/>
          <w:u w:val="single"/>
        </w:rPr>
      </w:pPr>
      <w:r w:rsidRPr="00B2430A">
        <w:rPr>
          <w:rFonts w:ascii="NTPreCursivefk" w:hAnsi="NTPreCursivefk" w:cs="CAAHHH+Verdana"/>
          <w:b/>
          <w:bCs/>
          <w:color w:val="000000"/>
          <w:sz w:val="40"/>
          <w:szCs w:val="40"/>
          <w:u w:val="single"/>
        </w:rPr>
        <w:t>Relative Pronouns – these enable you to write relative clauses</w:t>
      </w:r>
    </w:p>
    <w:p w:rsidR="00B2430A" w:rsidRDefault="00B2430A" w:rsidP="00B2430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NTPreCursivefk" w:hAnsi="NTPreCursivefk" w:cs="CAAHHH+Verdana"/>
          <w:bCs/>
          <w:color w:val="000000"/>
          <w:sz w:val="40"/>
          <w:szCs w:val="40"/>
        </w:rPr>
      </w:pPr>
      <w:r>
        <w:rPr>
          <w:rFonts w:ascii="NTPreCursivefk" w:hAnsi="NTPreCursivefk" w:cs="CAAHHH+Verdana"/>
          <w:bCs/>
          <w:color w:val="000000"/>
          <w:sz w:val="40"/>
          <w:szCs w:val="40"/>
        </w:rPr>
        <w:t>Who, that, which, whose, where</w:t>
      </w:r>
      <w:bookmarkStart w:id="0" w:name="_GoBack"/>
      <w:bookmarkEnd w:id="0"/>
    </w:p>
    <w:p w:rsidR="00B2430A" w:rsidRDefault="00B2430A" w:rsidP="00B2430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NTPreCursivefk" w:hAnsi="NTPreCursivefk" w:cs="CAAHHH+Verdana"/>
          <w:bCs/>
          <w:color w:val="000000"/>
          <w:sz w:val="40"/>
          <w:szCs w:val="40"/>
        </w:rPr>
      </w:pPr>
    </w:p>
    <w:p w:rsidR="00B2430A" w:rsidRDefault="00B2430A" w:rsidP="00B2430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NTPreCursivefk" w:hAnsi="NTPreCursivefk" w:cs="CAAHHH+Verdana"/>
          <w:bCs/>
          <w:color w:val="000000"/>
          <w:sz w:val="40"/>
          <w:szCs w:val="40"/>
        </w:rPr>
      </w:pPr>
    </w:p>
    <w:p w:rsidR="00B2430A" w:rsidRPr="00A47BB6" w:rsidRDefault="00B2430A" w:rsidP="00B2430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NTPreCursivefk" w:hAnsi="NTPreCursivefk" w:cs="CAAIGM+LucidaConsole"/>
          <w:color w:val="000000"/>
          <w:sz w:val="40"/>
          <w:szCs w:val="40"/>
        </w:rPr>
      </w:pPr>
    </w:p>
    <w:p w:rsidR="00557F6C" w:rsidRDefault="00557F6C"/>
    <w:sectPr w:rsidR="00557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AHHH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IGM+LucidaConsole">
    <w:altName w:val="Lucida Conso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6C"/>
    <w:rsid w:val="002F3488"/>
    <w:rsid w:val="00557F6C"/>
    <w:rsid w:val="00804F7C"/>
    <w:rsid w:val="00B2430A"/>
    <w:rsid w:val="00F3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5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5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D05A75B46A14DB018E7E258A095D6" ma:contentTypeVersion="6" ma:contentTypeDescription="Create a new document." ma:contentTypeScope="" ma:versionID="80b927dff146c048b6a650f7b45fcf64">
  <xsd:schema xmlns:xsd="http://www.w3.org/2001/XMLSchema" xmlns:xs="http://www.w3.org/2001/XMLSchema" xmlns:p="http://schemas.microsoft.com/office/2006/metadata/properties" xmlns:ns2="a7621bd6-db45-4126-b31d-c79099857950" xmlns:ns3="3dfdb210-4b30-4ec5-87e2-bf91f4bd5b3b" targetNamespace="http://schemas.microsoft.com/office/2006/metadata/properties" ma:root="true" ma:fieldsID="d19c50690ac9ee7c7de5e51b50fc7228" ns2:_="" ns3:_="">
    <xsd:import namespace="a7621bd6-db45-4126-b31d-c79099857950"/>
    <xsd:import namespace="3dfdb210-4b30-4ec5-87e2-bf91f4bd5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bd6-db45-4126-b31d-c79099857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db210-4b30-4ec5-87e2-bf91f4bd5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B3DFD-B7CF-42A2-98FF-1EC5DE2D7806}"/>
</file>

<file path=customXml/itemProps2.xml><?xml version="1.0" encoding="utf-8"?>
<ds:datastoreItem xmlns:ds="http://schemas.openxmlformats.org/officeDocument/2006/customXml" ds:itemID="{29C25719-D417-4B2C-9A06-766A8F71DE48}"/>
</file>

<file path=customXml/itemProps3.xml><?xml version="1.0" encoding="utf-8"?>
<ds:datastoreItem xmlns:ds="http://schemas.openxmlformats.org/officeDocument/2006/customXml" ds:itemID="{E44A9874-B4E6-4D90-889F-ADA970D40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Rodrigo</dc:creator>
  <cp:lastModifiedBy>Marguerite Rodrigo</cp:lastModifiedBy>
  <cp:revision>2</cp:revision>
  <cp:lastPrinted>2015-09-30T13:41:00Z</cp:lastPrinted>
  <dcterms:created xsi:type="dcterms:W3CDTF">2015-08-05T15:04:00Z</dcterms:created>
  <dcterms:modified xsi:type="dcterms:W3CDTF">2015-09-30T13:41:00Z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0x0101006C6D05A75B46A14DB018E7E258A095D6</vt:lpwstr>
  </property>
</Properties>
</file>